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（2019四川达州，题号7，3分）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某公司今年4月的营业额为2500万元，按计划第2季度的总营业额要达到9100万元，设该公司5，6两月的营业额的月平均增长率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为x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，根据题意列方程，则下列方程正确的是（   ）</w:t>
      </w:r>
    </w:p>
    <w:p>
      <w:pPr>
        <w:ind w:left="413" w:hanging="413" w:hangingChars="196"/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16.5pt;width:9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B.  </w:t>
      </w:r>
      <w:r>
        <w:rPr>
          <w:rFonts w:hint="eastAsia"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16.5pt;width:111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C.  </w:t>
      </w:r>
      <w:r>
        <w:rPr>
          <w:rFonts w:hint="eastAsia"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7" o:spt="75" type="#_x0000_t75" style="height:16.5pt;width:163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</w:p>
    <w:p>
      <w:pPr>
        <w:ind w:left="413" w:hanging="413" w:hangingChars="196"/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D.   2500+ </w:t>
      </w:r>
      <w:r>
        <w:rPr>
          <w:rFonts w:hint="eastAsia"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16.5pt;width:163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</w:p>
    <w:p>
      <w:pPr>
        <w:ind w:left="413" w:hanging="413" w:hangingChars="196"/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【解析】第二季度的总营业额应该是三个月营业额之和，应该是</w:t>
      </w:r>
      <w:r>
        <w:rPr>
          <w:rFonts w:hint="eastAsia"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16.5pt;width:163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，故选D.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一元二次方程的应用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甘肃天水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中国“一带一路”给沿线国家和地区带来很大的经济效益，沿线某地区居民2016年人均年收入20000元，到2018年人均年收入达到39200元．则该地区居民年人均收入平均增长率为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．（用百分数表示）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40%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解：设该地区居民年人均收入平均增长率为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20000（1+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＝39200，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＝0.4，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＝﹣2.4（舍去），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∴该地区居民年人均收入平均增长率为40%，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故答案为：40%．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四川宜宾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某产品每件的生产成本为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元，原定销售价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元，经市场预测，从现在开始的第一季度销售价格将下降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0" o:spt="75" type="#_x0000_t75" style="height:13.5pt;width:21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，第二季度又将回升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1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．若要使半年以后的销售利润不变，设每个季度平均降低成本的百分率为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2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，根据题意可列方程是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3" o:spt="75" type="#_x0000_t75" style="height:17.25pt;width:1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】解：设每个季度平均降低成本的百分率为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依题意，得：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5" o:spt="75" type="#_x0000_t75" style="height:17.25pt;width:1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6" o:spt="75" type="#_x0000_t75" style="height:17.25pt;width:19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bookmarkStart w:id="0" w:name="_GoBack"/>
      <w:bookmarkEnd w:id="0"/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一元二次方程及应用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spacing w:line="300" w:lineRule="auto"/>
        <w:ind w:left="422" w:hanging="422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重庆A卷，24，10）某文明小区50平方米和80平方米两种户型的住宅，50平方米住宅套数是80平方米住宅套数的2倍．物管公司月底按每平方米2元收取当月物管费，该小区全部住宅都人住且每户均按时全额缴纳物管费．</w:t>
      </w:r>
    </w:p>
    <w:p>
      <w:pPr>
        <w:spacing w:line="300" w:lineRule="auto"/>
        <w:ind w:left="840" w:leftChars="200" w:hanging="420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（1）该小区每月可收取物管费90 000元，问该小区共有多少套80平方米的住宅？</w:t>
      </w:r>
    </w:p>
    <w:p>
      <w:pPr>
        <w:spacing w:line="300" w:lineRule="auto"/>
        <w:ind w:left="840" w:leftChars="200" w:hanging="420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为建设“资源节约型社会”，该小区物管公司5月初推出活动一：“垃圾分类送礼物”，50平方米和80平方米的住户分别有40%和20%参加了此次括动．为提高大家的积扱性，6月份准备把活动一升级为活动二：“拉圾分类抵扣物管费”，同时终止活动一．经调査与测算，参加活动一的住户会全部参加活动二，参加活动二的住户会大幅增加，这样，6月份参加活动的50平方米的总户数在5月份参加活动的同户型户数的基础上将增加</w:t>
      </w:r>
      <w:r>
        <w:rPr>
          <w:rFonts w:hint="eastAsia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7" o:spt="75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，每户物管费将会减少</w:t>
      </w:r>
      <w:r>
        <w:rPr>
          <w:rFonts w:hint="eastAsia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38" o:spt="75" type="#_x0000_t75" style="height:28.5pt;width:31.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；6月份参加活动的80平方米的总户数在5月份参加活动的同户型户数的基础上将增加</w:t>
      </w:r>
      <w:r>
        <w:rPr>
          <w:rFonts w:hint="eastAsia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9" o:spt="75" type="#_x0000_t75" style="height:13.5pt;width:22.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，每户物管费将会减少</w:t>
      </w:r>
      <w:r>
        <w:rPr>
          <w:rFonts w:hint="eastAsia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40" o:spt="75" type="#_x0000_t75" style="height:28.5pt;width:27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．这样，参加活动的这部分住户6月份总共缴纳的物管费比他们按原方式共缴纳的物管费将减少</w:t>
      </w:r>
      <w:r>
        <w:rPr>
          <w:rFonts w:hint="eastAsia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41" o:spt="75" type="#_x0000_t75" style="height:28.5pt;width:31.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</w:t>
      </w:r>
      <w:r>
        <w:rPr>
          <w:rFonts w:hint="eastAsia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2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（1）根据“50平方米的物管费＋80平方米的物管费＝90000元”，列一元一次方程即可解答；（2）根据5、6两月参加两种活动的户数及减少的每平米的物管费，可列表如下：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6月份参加活动二的户数及缴物管费统计表</w:t>
      </w:r>
    </w:p>
    <w:tbl>
      <w:tblPr>
        <w:tblStyle w:val="4"/>
        <w:tblW w:w="6505" w:type="dxa"/>
        <w:tblInd w:w="1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56"/>
        <w:gridCol w:w="34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6" w:type="dxa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户数</w:t>
            </w:r>
          </w:p>
        </w:tc>
        <w:tc>
          <w:tcPr>
            <w:tcW w:w="3474" w:type="dxa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每户实缴物管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356" w:type="dxa"/>
          </w:tcPr>
          <w:p>
            <w:pPr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500×40%×(1＋2</w:t>
            </w:r>
            <w:r>
              <w:rPr>
                <w:rFonts w:hint="eastAsia" w:hAnsi="宋体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%)</w:t>
            </w:r>
          </w:p>
        </w:tc>
        <w:tc>
          <w:tcPr>
            <w:tcW w:w="3474" w:type="dxa"/>
          </w:tcPr>
          <w:p>
            <w:pPr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100(1－</w:t>
            </w:r>
            <w:r>
              <w:rPr>
                <w:color w:val="000000" w:themeColor="text1"/>
                <w:position w:val="-24"/>
                <w14:textFill>
                  <w14:solidFill>
                    <w14:schemeClr w14:val="tx1"/>
                  </w14:solidFill>
                </w14:textFill>
              </w:rPr>
              <w:object>
                <v:shape id="_x0000_i1043" o:spt="75" type="#_x0000_t75" style="height:31.5pt;width:16.5pt;" o:ole="t" filled="f" o:preferrelative="t" stroked="f" coordsize="21600,21600">
                  <v:path/>
                  <v:fill on="f" focussize="0,0"/>
                  <v:stroke on="f" joinstyle="miter"/>
                  <v:imagedata r:id="rId43" o:title="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42">
                  <o:LockedField>false</o:LockedField>
                </o:OLEObject>
              </w:object>
            </w:r>
            <w:r>
              <w:rPr>
                <w:rFonts w:hint="eastAsia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356" w:type="dxa"/>
          </w:tcPr>
          <w:p>
            <w:pPr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250×20%×(1＋6</w:t>
            </w:r>
            <w:r>
              <w:rPr>
                <w:rFonts w:hint="eastAsia" w:hAnsi="宋体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%)</w:t>
            </w:r>
          </w:p>
        </w:tc>
        <w:tc>
          <w:tcPr>
            <w:tcW w:w="3474" w:type="dxa"/>
          </w:tcPr>
          <w:p>
            <w:pPr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160(1－</w:t>
            </w:r>
            <w:r>
              <w:rPr>
                <w:color w:val="000000" w:themeColor="text1"/>
                <w:position w:val="-24"/>
                <w14:textFill>
                  <w14:solidFill>
                    <w14:schemeClr w14:val="tx1"/>
                  </w14:solidFill>
                </w14:textFill>
              </w:rPr>
              <w:object>
                <v:shape id="_x0000_i1044" o:spt="75" type="#_x0000_t75" style="height:31.5pt;width:12pt;" o:ole="t" filled="f" o:preferrelative="t" stroked="f" coordsize="21600,21600">
                  <v:path/>
                  <v:fill on="f" focussize="0,0"/>
                  <v:stroke on="f" joinstyle="miter"/>
                  <v:imagedata r:id="rId45" o:title="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44">
                  <o:LockedField>false</o:LockedField>
                </o:OLEObject>
              </w:object>
            </w:r>
            <w:r>
              <w:rPr>
                <w:rFonts w:hint="eastAsia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%)</w:t>
            </w:r>
          </w:p>
        </w:tc>
      </w:tr>
    </w:tbl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再根据“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参加活动的这部分住户6月份总共缴纳的物管费比他们按原方式共缴纳的物管费将减少</w:t>
      </w:r>
      <w:r>
        <w:rPr>
          <w:rFonts w:hint="eastAsia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45" o:spt="75" type="#_x0000_t75" style="height:28.5pt;width:31.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”列一元二次方程即可解答．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26" w:hanging="426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（1）设80平方米的住宅有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套，则50平方米的住宅有2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套，根据题意，得</w:t>
      </w:r>
    </w:p>
    <w:p>
      <w:pPr>
        <w:ind w:left="422" w:leftChars="201" w:firstLine="1440" w:firstLineChars="68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100＋160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＝90000，解得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＝250．</w:t>
      </w:r>
    </w:p>
    <w:p>
      <w:pPr>
        <w:ind w:left="422" w:leftChars="201" w:firstLine="1440" w:firstLineChars="68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答：80平方米的住宅有250套． </w:t>
      </w:r>
    </w:p>
    <w:p>
      <w:pPr>
        <w:ind w:left="426" w:hanging="426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根据题意，得200(1＋2</w:t>
      </w:r>
      <w:r>
        <w:rPr>
          <w:rFonts w:hint="eastAsia" w:hAnsi="宋体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%)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•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100(1－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6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%)＋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50(1＋6</w:t>
      </w:r>
      <w:r>
        <w:rPr>
          <w:rFonts w:hint="eastAsia" w:hAnsi="宋体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%)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•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160(1－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7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%)＝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[200(1＋2</w:t>
      </w:r>
      <w:r>
        <w:rPr>
          <w:rFonts w:hint="eastAsia" w:hAnsi="宋体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%)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•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100＋50(1＋6</w:t>
      </w:r>
      <w:r>
        <w:rPr>
          <w:rFonts w:hint="eastAsia" w:hAnsi="宋体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%)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•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160]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•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(1－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8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%)</w:t>
      </w:r>
    </w:p>
    <w:p>
      <w:pPr>
        <w:ind w:left="424" w:hanging="424" w:hangingChars="202"/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令</w:t>
      </w:r>
      <w:r>
        <w:rPr>
          <w:rFonts w:hint="eastAsia" w:hAnsi="宋体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 w:hAnsi="宋体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%，原方程可化为20000(1＋2</w:t>
      </w:r>
      <w:r>
        <w:rPr>
          <w:rFonts w:hint="eastAsia" w:hAnsi="宋体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)(1－0.3</w:t>
      </w:r>
      <w:r>
        <w:rPr>
          <w:rFonts w:hint="eastAsia" w:hAnsi="宋体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)＋8000(1＋6</w:t>
      </w:r>
      <w:r>
        <w:rPr>
          <w:rFonts w:hint="eastAsia" w:hAnsi="宋体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)(1－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9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  <w:r>
        <w:rPr>
          <w:rFonts w:hint="eastAsia" w:hAnsi="宋体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)＝</w:t>
      </w:r>
    </w:p>
    <w:p>
      <w:pPr>
        <w:ind w:left="424" w:hanging="424" w:hangingChars="202"/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[20000(1＋2</w:t>
      </w:r>
      <w:r>
        <w:rPr>
          <w:rFonts w:hint="eastAsia" w:hAnsi="宋体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)＋8000(1＋6</w:t>
      </w:r>
      <w:r>
        <w:rPr>
          <w:rFonts w:hint="eastAsia" w:hAnsi="宋体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)]( (1－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0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2">
            <o:LockedField>false</o:LockedField>
          </o:OLEObject>
        </w:object>
      </w:r>
      <w:r>
        <w:rPr>
          <w:rFonts w:hint="eastAsia" w:hAnsi="宋体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)，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整理，得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1" o:spt="75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3">
            <o:LockedField>false</o:LockedField>
          </o:OLEObject>
        </w:objec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2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5">
            <o:LockedField>false</o:LockedField>
          </o:OLEObject>
        </w:objec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＝0，解得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＝0.5，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＝0（不合题意，舍去）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∴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%＝50%，故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的值为50．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一元一次方程的应用；一元二次方程的应用；换元法．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（2019重庆市B卷，24，10）</w:t>
      </w:r>
      <w:r>
        <w:rPr>
          <w:rFonts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菜市场有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2.5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平方米和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平方米两种摊位，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2.5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平方米的摊位数是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平方米摊位数的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管理单位每月底按每平方米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元收取当月管理费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该菜市场全部摊位都有商户经营且各摊位均按时全额繳管理费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(1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〕菜市场毎月可收取管理费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4500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元，求该菜市场共有多少个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平方米的摊位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?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为推进环保袋的使用，管理单位在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月份推出活动一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:“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使用环保袋送礼物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2.5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平方米和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平方米两种摊位的商户分别有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％和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％参加了此项活动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为提高大家使用环保袋的积极性，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月份准备把活动一升级为活动二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:“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使用环保袋抵扣管理费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，同时终止活动一，经调查与测算，参加活动一的商户会全部参加活动二，参加活动二的商户会显著增加，这样，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月份参加活动二的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2.5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平方米摊位的总个数将在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月份参加活动一的同面积个数的基础上增加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2a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％，每个位的管理费将会减少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3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7">
            <o:LockedField>false</o:LockedField>
          </o:OLEObject>
        </w:object>
      </w:r>
      <w:r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月份参加活动二的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平方米摊位的总个数将在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月份参加活动一的同面积个数的基础上增加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6a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％，每个推位的管理费将会减少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4" o:spt="75" type="#_x0000_t75" style="height:30.75pt;width:24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59">
            <o:LockedField>false</o:LockedField>
          </o:OLEObject>
        </w:objec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，这样，参加活动二的这部分商户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月份总共缴纳的管理费比他们按原方式共缴纳的管理费将减少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5" o:spt="75" type="#_x0000_t75" style="height:30.75pt;width:28.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1">
            <o:LockedField>false</o:LockedField>
          </o:OLEObject>
        </w:objec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（1）利用题目中所给出来的已知条件，先设4平方米的摊位有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个，则用含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的代数式来表达出2.5平方米的摊位个数，然后利用2.5平方米的摊位个数</w:t>
      </w:r>
      <w:r>
        <w:rPr>
          <w:rFonts w:ascii="Arial" w:hAnsi="Arial" w:cs="Arial"/>
          <w:color w:val="000000" w:themeColor="text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每个摊位的管理费+4平方米的摊位个数</w:t>
      </w:r>
      <w:r>
        <w:rPr>
          <w:rFonts w:ascii="Arial" w:hAnsi="Arial" w:cs="Arial"/>
          <w:color w:val="000000" w:themeColor="text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每个摊位的管理费=可收取的总共的管理费这个等量关系，就可以列出方程进行求解。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根据题目中的已知条件，就可以计算出来5月份参加活动两种摊位个数，然后再根据已知条件中6月份的摊位个数的增加百分比和管理费用减少的百分比，就可以列出6月份两种摊位的总管理费，而这个管理费还可以用第二种表示方法，就是按原方式共缴纳的管理费</w:t>
      </w:r>
      <w:r>
        <w:rPr>
          <w:rFonts w:ascii="Arial" w:hAnsi="Arial" w:cs="Arial"/>
          <w:color w:val="000000" w:themeColor="text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Arial" w:hAnsi="Arial" w:cs="Arial"/>
          <w:color w:val="000000" w:themeColor="text1"/>
          <w:szCs w:val="21"/>
          <w14:textFill>
            <w14:solidFill>
              <w14:schemeClr w14:val="tx1"/>
            </w14:solidFill>
          </w14:textFill>
        </w:rPr>
        <w:t>减少后的百分比，就可以找到等量关系，列出方程，进而求得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Arial" w:hAnsi="Arial" w:cs="Arial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解：（1）设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该菜市场共有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个4平方米的摊位,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则有2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个2.5平方米的摊位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根据题意的：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（4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+2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·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2.5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）=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4500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=25.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答：设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该菜市场共有25个4平方米的摊位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（2）设4平方米的数量为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，则2.5平方米的数量为2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，由题意可得: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40%）（1+2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%）</w:t>
      </w:r>
      <w:r>
        <w:rPr>
          <w:rFonts w:hint="eastAsia"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（2.5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20）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（1-</w:t>
      </w:r>
      <w:r>
        <w:rPr>
          <w:rFonts w:hint="eastAsia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6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3">
            <o:LockedField>false</o:LockedField>
          </o:OLEObject>
        </w:objec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%）+（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20%）（1+6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%）（4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20）（1-</w:t>
      </w:r>
      <w:r>
        <w:rPr>
          <w:rFonts w:hint="eastAsia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7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5">
            <o:LockedField>false</o:LockedField>
          </o:OLEObject>
        </w:objec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%）=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[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40%）（1+2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%）</w:t>
      </w:r>
      <w:r>
        <w:rPr>
          <w:rFonts w:hint="eastAsia"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（2.5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20）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+（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20%）（1+6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%）（4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20）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]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（1-</w:t>
      </w:r>
      <w:r>
        <w:rPr>
          <w:rFonts w:hint="eastAsia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8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7">
            <o:LockedField>false</o:LockedField>
          </o:OLEObject>
        </w:objec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%）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解得：: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=50.  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=0（舍去）.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答：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的值为50.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一元一次方程、一元二次方程的应用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（2019四川攀枝花，21，8分）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攀枝花得天独厚，气候宜人，农产品资源极为丰富，其中晚熟芒果远销北上广等大城市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某水果店购进一批优质晚熟芒果，进价为10元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/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千克，售价不低于15元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/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千克，且不超过40元/每千克，根据销售情况，发现该芒果在一天内的销售量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（千克）与该天的售价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（元/千克）之间的数量满足如下表所示的一次函数关系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tbl>
      <w:tblPr>
        <w:tblStyle w:val="5"/>
        <w:tblW w:w="84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782"/>
        <w:gridCol w:w="1173"/>
        <w:gridCol w:w="1172"/>
        <w:gridCol w:w="1173"/>
        <w:gridCol w:w="1173"/>
        <w:gridCol w:w="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184" w:type="dxa"/>
          </w:tcPr>
          <w:p>
            <w:pPr>
              <w:jc w:val="center"/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销售量</w:t>
            </w:r>
            <w:r>
              <w:rPr>
                <w:rFonts w:cs="Times New Roman" w:asciiTheme="minorHAnsi" w:hAnsiTheme="minorHAnsi" w:eastAsiaTheme="minorEastAsia"/>
                <w:i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（千克）</w:t>
            </w:r>
          </w:p>
        </w:tc>
        <w:tc>
          <w:tcPr>
            <w:tcW w:w="782" w:type="dxa"/>
          </w:tcPr>
          <w:p>
            <w:pPr>
              <w:jc w:val="center"/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173" w:type="dxa"/>
          </w:tcPr>
          <w:p>
            <w:pPr>
              <w:jc w:val="center"/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32.5</w:t>
            </w:r>
          </w:p>
        </w:tc>
        <w:tc>
          <w:tcPr>
            <w:tcW w:w="1172" w:type="dxa"/>
          </w:tcPr>
          <w:p>
            <w:pPr>
              <w:jc w:val="center"/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173" w:type="dxa"/>
          </w:tcPr>
          <w:p>
            <w:pPr>
              <w:jc w:val="center"/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35.5</w:t>
            </w:r>
          </w:p>
        </w:tc>
        <w:tc>
          <w:tcPr>
            <w:tcW w:w="1173" w:type="dxa"/>
          </w:tcPr>
          <w:p>
            <w:pPr>
              <w:jc w:val="center"/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763" w:type="dxa"/>
          </w:tcPr>
          <w:p>
            <w:pPr>
              <w:jc w:val="center"/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184" w:type="dxa"/>
          </w:tcPr>
          <w:p>
            <w:pPr>
              <w:jc w:val="center"/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售价</w:t>
            </w:r>
            <w:r>
              <w:rPr>
                <w:rFonts w:cs="Times New Roman" w:asciiTheme="minorHAnsi" w:hAnsiTheme="minorHAnsi" w:eastAsiaTheme="minorEastAsia"/>
                <w:i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（元/千克）</w:t>
            </w:r>
          </w:p>
        </w:tc>
        <w:tc>
          <w:tcPr>
            <w:tcW w:w="782" w:type="dxa"/>
          </w:tcPr>
          <w:p>
            <w:pPr>
              <w:jc w:val="center"/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173" w:type="dxa"/>
          </w:tcPr>
          <w:p>
            <w:pPr>
              <w:jc w:val="center"/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27.5</w:t>
            </w:r>
          </w:p>
        </w:tc>
        <w:tc>
          <w:tcPr>
            <w:tcW w:w="1172" w:type="dxa"/>
          </w:tcPr>
          <w:p>
            <w:pPr>
              <w:jc w:val="center"/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173" w:type="dxa"/>
          </w:tcPr>
          <w:p>
            <w:pPr>
              <w:jc w:val="center"/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24.5</w:t>
            </w:r>
          </w:p>
        </w:tc>
        <w:tc>
          <w:tcPr>
            <w:tcW w:w="1173" w:type="dxa"/>
          </w:tcPr>
          <w:p>
            <w:pPr>
              <w:jc w:val="center"/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763" w:type="dxa"/>
          </w:tcPr>
          <w:p>
            <w:pPr>
              <w:jc w:val="center"/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Theme="minorHAnsi" w:hAnsiTheme="minorHAnsi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</w:tr>
    </w:tbl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（1）某天这种芒果售价为28元/千克。求当天该芒果的销售量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（2）设某天销售这种芒果获利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元，写出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与售价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之间的函数关系式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如果水果店该天获利400元，那么这天芒果的售价为多少元？ 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【思路分析】（</w:t>
      </w: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根据表格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提供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的数据，运用待定系数法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先求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一次函数解析式；（2）根据总利润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销售量×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每千克的利润得出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芒果获利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与售价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之间的函数关系式，由水果店该天获利400元，得关于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的方程，解之，合理取值即可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（1）设该一次函数解析式为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则</w:t>
      </w:r>
      <w:r>
        <w:rPr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059" o:spt="75" type="#_x0000_t75" style="height:36pt;width:70.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6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060" o:spt="75" type="#_x0000_t75" style="height:36pt;width:43.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1">
            <o:LockedField>false</o:LockedField>
          </o:OLEObject>
        </w:objec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＝－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＋6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5≤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≤40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＝3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∴芒果售价为28元/千克时，当天该芒果的销售量为32千克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（2）由题易知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) 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＋6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0)(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＝－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＋7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－6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00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＝4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时，则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＋7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－6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＝4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整理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－7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000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＝0．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5≤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≤40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,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所以这天芒果的售价为20元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【知识点】一元二次方程的实际应用；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一次函数的实际应用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广东广州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随着粤港澳大湾区建设的加速推进，广东省正加速布局以5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等为代表的战略性新兴产业，据统计，目前广东5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基站的数量约1.5万座，计划到2020年底，全省5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基站数是目前的4倍，到2022年底，全省5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基站数量将达到17.34万座．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（1）计划到2020年底，全省5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基站的数量是多少万座？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（2）按照计划，求2020年底到2022年底，全省5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基站数量的年平均增长率．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（1）2020年全省5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基站的数量＝目前广东5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基站的数量×4，即可求出结论；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（2）设2020年底到2022年底，全省5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基站数量的年平均增长率为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，根据2020年底及2022年底全省5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基站数量，即可得出关于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的一元二次方程，解之取其正值即可得出结论．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（1）1.5×4＝6（万座）．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答：计划到2020年底，全省5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基站的数量是6万座．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（2）设2020年底到2022年底，全省5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基站数量的年平均增长率为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依题意，得：6（1+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＝17.34，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＝0.7＝70%，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＝﹣2.7（舍去）．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答：2020年底到2022年底，全省5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基站数量的年平均增长率为70%．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湖北宜昌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公司2018年使用自主研发生产的“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QL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”系列甲、乙、丙三类芯片共2800万块，生产了2800万部手机，其中乙类芯片的产量是甲类芯片的2倍，丙类芯片的产量比甲、乙两类芯片产量的和还多400万块．这些“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QL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”芯片解决了该公司2018年生产的全部手机所需芯片的10%．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（1）求2018年甲类芯片的产量；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公司计划2020年生产的手机全部使用自主研发的“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QL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”系列芯片．从2019年起逐年扩大“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QL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”芯片的产量，2019年、2020年这两年，甲类芯片每年的产量都比前一年增长一个相同的百分数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%，乙类芯片的产量平均每年增长的百分数比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%小1，丙类芯片的产量每年按相同的数量递增.2018年到2020年，丙类芯片三年的总产量达到1.44亿块．这样，2020年的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公司的手机产量比2018年全年的手机产量多10%，求丙类芯片2020年的产量及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（1）设2018年甲类芯片的产量为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万块，由题意列出方程，解方程即可；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（2）2018年万块丙类芯片的产量为3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+400＝1600万块，设丙类芯片的产量每年增加的熟练为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万块，则1600+1600+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+1600+2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＝14400，解得：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＝3200，得出丙类芯片2020年的产量为1600+2×3200＝8000万块，2018年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公司手机产量为2800÷10%＝28000万部，由题意得出400（1+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%）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+2×400（1+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%﹣1）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+8000＝28000×（1+10%），设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%＝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，化简得：3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﹣56＝0，解得：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＝4，或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（舍去），即可得出答案．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（1）设2018年甲类芯片的产量为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万块，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）+400＝2800，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＝400；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答：2018年甲类芯片的产量为400万块；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（2）2018年万块丙类芯片的产量为3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+400＝1600万块，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设丙类芯片的产量每年增加的数量为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万块，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则1600+1600+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+1600+2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＝14400，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＝3200，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∴丙类芯片2020年的产量为1600+2×3200＝8000万块，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2018年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公司手机产量为2800÷10%＝28000万部，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400（1+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%）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+2×400（1+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%﹣1）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+8000＝28000×（1+10%），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%＝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化简得：3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﹣56＝0，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＝4，或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（舍去），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%＝4，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＝400；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答：丙类芯片2020年的产量为8000万块，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＝400．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江苏南京，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地计划对矩形广场进行扩建改造．如图，原广场长50m，宽40m，要求扩充后的矩形广场长与宽的比为3：2．扩充区域的扩建费用每平方米30元，扩建后在原广场和扩充区域都铺设地砖，铺设地砖费用每平方米100元．如果计划总费用642000元，扩充后广场的长和宽应分别是多少米？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81125" cy="1000125"/>
            <wp:effectExtent l="0" t="0" r="0" b="0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设扩充后广场的长为3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，宽为2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m，根据矩形的面积公式和总价＝单价×数量列出方程并解答．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设扩充后广场的长为3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，宽为2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依题意得：3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•100+30（3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﹣50×40）＝642000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＝﹣30（舍去）．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＝90，2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答：扩充后广场的长为90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，宽为60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山东德州，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习近平总书记说：“读书可以让人保持思想活力，让人得到智慧启发，让人滋养浩然之气”．某校为响应我市全民阅读活动，利用节假日面向社会开放学校图书馆．据统计，第一个月进馆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人次，进馆人次逐月增加，到第三个月末累计进馆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608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人次，若进馆人次的月平均增长率相同．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）求进馆人次的月平均增长率；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）因条件限制，学校图书馆每月接纳能力不超过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500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人次，在进馆人次的月平均增长率不变的条件下，校图书馆能否接纳第四个月的进馆人次，并说明理由．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）先分别表示出第二个月和第三个月的进馆人次，再根据第一个月的进馆人次加第二和第三个月的进馆人次等于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608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，列方程求解；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）根据（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）所计算出的月平均增长率，计算出第四个月的进馆人次，再与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比较大小即可．</w:t>
      </w:r>
    </w:p>
    <w:p>
      <w:pPr>
        <w:pStyle w:val="10"/>
        <w:spacing w:line="360" w:lineRule="auto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）设进馆人次的月平均增长率为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由题意得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2" o:spt="75" type="#_x0000_t75" style="height:17.25pt;width:150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6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化简，得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3" o:spt="75" type="#_x0000_t75" style="height:15pt;width: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8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4" o:spt="75" type="#_x0000_t75" style="height:15pt;width:92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5" o:spt="75" type="#_x0000_t75" style="height:12.75pt;width:71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6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（舍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6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答：进馆人次的月平均增长率为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8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9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进馆人次的月平均增长率为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0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1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第四个月的进馆人次为：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72" o:spt="75" type="#_x0000_t75" style="height:27.75pt;width:159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6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答：校图书馆能接纳第四个月的进馆人次．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1NWzYBUCAAAT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7"/>
        <w:rFonts w:ascii="微软雅黑" w:hAnsi="微软雅黑" w:eastAsia="微软雅黑"/>
        <w:sz w:val="21"/>
        <w:szCs w:val="21"/>
      </w:rPr>
      <w:t>www.</w:t>
    </w:r>
    <w:r>
      <w:rPr>
        <w:rStyle w:val="7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8042E"/>
    <w:rsid w:val="000B0100"/>
    <w:rsid w:val="00167D5F"/>
    <w:rsid w:val="00203654"/>
    <w:rsid w:val="002A6A70"/>
    <w:rsid w:val="002E5EDD"/>
    <w:rsid w:val="00360D67"/>
    <w:rsid w:val="003C45F1"/>
    <w:rsid w:val="003E0296"/>
    <w:rsid w:val="00404B3C"/>
    <w:rsid w:val="00431D00"/>
    <w:rsid w:val="00442FED"/>
    <w:rsid w:val="004500DF"/>
    <w:rsid w:val="0046404B"/>
    <w:rsid w:val="004808C9"/>
    <w:rsid w:val="004B79D1"/>
    <w:rsid w:val="004F4E08"/>
    <w:rsid w:val="00601E6E"/>
    <w:rsid w:val="0063083A"/>
    <w:rsid w:val="0064510C"/>
    <w:rsid w:val="00661993"/>
    <w:rsid w:val="006962E7"/>
    <w:rsid w:val="006D6684"/>
    <w:rsid w:val="006E2B6B"/>
    <w:rsid w:val="007506F4"/>
    <w:rsid w:val="007917B4"/>
    <w:rsid w:val="007A7FAF"/>
    <w:rsid w:val="007B40A7"/>
    <w:rsid w:val="007D45CD"/>
    <w:rsid w:val="008662FD"/>
    <w:rsid w:val="00877901"/>
    <w:rsid w:val="008B31A8"/>
    <w:rsid w:val="008D1189"/>
    <w:rsid w:val="008F268F"/>
    <w:rsid w:val="008F7E25"/>
    <w:rsid w:val="00926E88"/>
    <w:rsid w:val="00946AC3"/>
    <w:rsid w:val="009D224E"/>
    <w:rsid w:val="009E75A5"/>
    <w:rsid w:val="00A40E81"/>
    <w:rsid w:val="00A80800"/>
    <w:rsid w:val="00AD3744"/>
    <w:rsid w:val="00B24681"/>
    <w:rsid w:val="00B36C3C"/>
    <w:rsid w:val="00C2527B"/>
    <w:rsid w:val="00CC38FA"/>
    <w:rsid w:val="00D30412"/>
    <w:rsid w:val="00D5355D"/>
    <w:rsid w:val="00D56BD8"/>
    <w:rsid w:val="00D85384"/>
    <w:rsid w:val="00DE1903"/>
    <w:rsid w:val="00ED7DEC"/>
    <w:rsid w:val="00EE0077"/>
    <w:rsid w:val="00F21AE0"/>
    <w:rsid w:val="00FA5E6A"/>
    <w:rsid w:val="00FD67FF"/>
    <w:rsid w:val="6C44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Hyperlink"/>
    <w:basedOn w:val="6"/>
    <w:uiPriority w:val="0"/>
    <w:rPr>
      <w:color w:val="0000FF"/>
      <w:u w:val="single"/>
    </w:rPr>
  </w:style>
  <w:style w:type="paragraph" w:customStyle="1" w:styleId="8">
    <w:name w:val="Normal_0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3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4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5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customXml" Target="../customXml/item2.xml"/><Relationship Id="rId98" Type="http://schemas.openxmlformats.org/officeDocument/2006/relationships/customXml" Target="../customXml/item1.xml"/><Relationship Id="rId97" Type="http://schemas.openxmlformats.org/officeDocument/2006/relationships/image" Target="media/image43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2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5.bin"/><Relationship Id="rId9" Type="http://schemas.openxmlformats.org/officeDocument/2006/relationships/image" Target="media/image2.wmf"/><Relationship Id="rId89" Type="http://schemas.openxmlformats.org/officeDocument/2006/relationships/image" Target="media/image39.wmf"/><Relationship Id="rId88" Type="http://schemas.openxmlformats.org/officeDocument/2006/relationships/oleObject" Target="embeddings/oleObject44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3.bin"/><Relationship Id="rId85" Type="http://schemas.openxmlformats.org/officeDocument/2006/relationships/image" Target="media/image37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6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5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1.bin"/><Relationship Id="rId79" Type="http://schemas.openxmlformats.org/officeDocument/2006/relationships/image" Target="media/image34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3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2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1.png"/><Relationship Id="rId72" Type="http://schemas.openxmlformats.org/officeDocument/2006/relationships/image" Target="media/image30.wmf"/><Relationship Id="rId71" Type="http://schemas.openxmlformats.org/officeDocument/2006/relationships/oleObject" Target="embeddings/oleObject36.bin"/><Relationship Id="rId70" Type="http://schemas.openxmlformats.org/officeDocument/2006/relationships/image" Target="media/image29.wmf"/><Relationship Id="rId7" Type="http://schemas.openxmlformats.org/officeDocument/2006/relationships/theme" Target="theme/theme1.xml"/><Relationship Id="rId69" Type="http://schemas.openxmlformats.org/officeDocument/2006/relationships/oleObject" Target="embeddings/oleObject35.bin"/><Relationship Id="rId68" Type="http://schemas.openxmlformats.org/officeDocument/2006/relationships/image" Target="media/image28.wmf"/><Relationship Id="rId67" Type="http://schemas.openxmlformats.org/officeDocument/2006/relationships/oleObject" Target="embeddings/oleObject34.bin"/><Relationship Id="rId66" Type="http://schemas.openxmlformats.org/officeDocument/2006/relationships/image" Target="media/image27.wmf"/><Relationship Id="rId65" Type="http://schemas.openxmlformats.org/officeDocument/2006/relationships/oleObject" Target="embeddings/oleObject33.bin"/><Relationship Id="rId64" Type="http://schemas.openxmlformats.org/officeDocument/2006/relationships/image" Target="media/image26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5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4.wmf"/><Relationship Id="rId6" Type="http://schemas.openxmlformats.org/officeDocument/2006/relationships/footer" Target="footer1.xml"/><Relationship Id="rId59" Type="http://schemas.openxmlformats.org/officeDocument/2006/relationships/oleObject" Target="embeddings/oleObject30.bin"/><Relationship Id="rId58" Type="http://schemas.openxmlformats.org/officeDocument/2006/relationships/image" Target="media/image23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2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1.wmf"/><Relationship Id="rId53" Type="http://schemas.openxmlformats.org/officeDocument/2006/relationships/oleObject" Target="embeddings/oleObject27.bin"/><Relationship Id="rId52" Type="http://schemas.openxmlformats.org/officeDocument/2006/relationships/oleObject" Target="embeddings/oleObject26.bin"/><Relationship Id="rId51" Type="http://schemas.openxmlformats.org/officeDocument/2006/relationships/oleObject" Target="embeddings/oleObject25.bin"/><Relationship Id="rId50" Type="http://schemas.openxmlformats.org/officeDocument/2006/relationships/image" Target="media/image20.wmf"/><Relationship Id="rId5" Type="http://schemas.openxmlformats.org/officeDocument/2006/relationships/header" Target="header3.xml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oleObject" Target="embeddings/oleObject21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1.bin"/><Relationship Id="rId25" Type="http://schemas.openxmlformats.org/officeDocument/2006/relationships/image" Target="media/image9.wmf"/><Relationship Id="rId24" Type="http://schemas.openxmlformats.org/officeDocument/2006/relationships/oleObject" Target="embeddings/oleObject10.bin"/><Relationship Id="rId23" Type="http://schemas.openxmlformats.org/officeDocument/2006/relationships/image" Target="media/image8.wmf"/><Relationship Id="rId22" Type="http://schemas.openxmlformats.org/officeDocument/2006/relationships/oleObject" Target="embeddings/oleObject9.bin"/><Relationship Id="rId21" Type="http://schemas.openxmlformats.org/officeDocument/2006/relationships/image" Target="media/image7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7.bin"/><Relationship Id="rId17" Type="http://schemas.openxmlformats.org/officeDocument/2006/relationships/image" Target="media/image5.wmf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13" Type="http://schemas.openxmlformats.org/officeDocument/2006/relationships/image" Target="media/image4.wmf"/><Relationship Id="rId12" Type="http://schemas.openxmlformats.org/officeDocument/2006/relationships/oleObject" Target="embeddings/oleObject3.bin"/><Relationship Id="rId11" Type="http://schemas.openxmlformats.org/officeDocument/2006/relationships/image" Target="media/image3.wmf"/><Relationship Id="rId100" Type="http://schemas.openxmlformats.org/officeDocument/2006/relationships/fontTable" Target="fontTable.xml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270087-15EE-488C-903C-727A9FA543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1208</Words>
  <Characters>6890</Characters>
  <Lines>57</Lines>
  <Paragraphs>16</Paragraphs>
  <TotalTime>1</TotalTime>
  <ScaleCrop>false</ScaleCrop>
  <LinksUpToDate>false</LinksUpToDate>
  <CharactersWithSpaces>8082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2019-09-18T07:14:52Z</dcterms:modified>
  <dc:subject>2013jscm中考精品分类汇编</dc:subject>
  <dc:title>诚信参与  合作共赢  参与共享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